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F3" w:rsidRPr="00CF19F3" w:rsidRDefault="00CF19F3" w:rsidP="00CF19F3">
      <w:pPr>
        <w:spacing w:before="6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F19F3">
        <w:rPr>
          <w:rFonts w:ascii="Arial" w:hAnsi="Arial" w:cs="Arial"/>
          <w:b/>
          <w:sz w:val="24"/>
          <w:szCs w:val="24"/>
          <w:u w:val="single"/>
        </w:rPr>
        <w:t>Author Guidelines for Letters to the Editor</w:t>
      </w: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Letters</w:t>
      </w:r>
      <w:r>
        <w:rPr>
          <w:rFonts w:ascii="Arial" w:hAnsi="Arial" w:cs="Arial"/>
          <w:sz w:val="24"/>
          <w:szCs w:val="24"/>
        </w:rPr>
        <w:t xml:space="preserve"> to the Editor</w:t>
      </w:r>
      <w:r w:rsidRPr="00CF19F3">
        <w:rPr>
          <w:rFonts w:ascii="Arial" w:hAnsi="Arial" w:cs="Arial"/>
          <w:sz w:val="24"/>
          <w:szCs w:val="24"/>
        </w:rPr>
        <w:t xml:space="preserve"> provide an avenue to discuss, comment on, or respond to articles previously published in AJHS. To facilitate the submission process and maintain publishing standards, please follow these guidelines:</w:t>
      </w:r>
    </w:p>
    <w:p w:rsid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AJHS welcomes the following types of letters:</w:t>
      </w:r>
    </w:p>
    <w:p w:rsidR="00CF19F3" w:rsidRPr="00CF19F3" w:rsidRDefault="00CF19F3" w:rsidP="00CF19F3">
      <w:pPr>
        <w:pStyle w:val="ListParagraph"/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Comments: Constructive comments on previously published articles in AJHS.</w:t>
      </w:r>
    </w:p>
    <w:p w:rsidR="00CF19F3" w:rsidRPr="00CF19F3" w:rsidRDefault="00CF19F3" w:rsidP="00CF19F3">
      <w:pPr>
        <w:pStyle w:val="ListParagraph"/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Responses: Author responses to comments on their published work.</w:t>
      </w:r>
    </w:p>
    <w:p w:rsidR="00CF19F3" w:rsidRPr="00CF19F3" w:rsidRDefault="00CF19F3" w:rsidP="00CF19F3">
      <w:pPr>
        <w:pStyle w:val="ListParagraph"/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Perspectives: Insightful viewpoints on issues relevant to health sciences.</w:t>
      </w:r>
    </w:p>
    <w:p w:rsidR="00CF19F3" w:rsidRPr="00CF19F3" w:rsidRDefault="00CF19F3" w:rsidP="00CF19F3">
      <w:pPr>
        <w:pStyle w:val="ListParagraph"/>
        <w:numPr>
          <w:ilvl w:val="1"/>
          <w:numId w:val="1"/>
        </w:num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Corrections: Requests for corrections to factual errors in AJHS publications.</w:t>
      </w: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Manuscript Preparation</w:t>
      </w: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1. Title Page: Include a clear and informative title that accurately reflects the content of the letter. List all authors' full names, affiliations, and contact details. Clearly indicate the corresponding author.</w:t>
      </w: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2. Text: Keep the text concise and focused. Address the specific article or topic you are discussing or responding to. Provide references to the relevant AJHS article(s) when applicable.</w:t>
      </w:r>
    </w:p>
    <w:p w:rsidR="00CF19F3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>3. References: Cite sources, including the AJHS article(s) you are discussing or responding to, using the Vancouver citation style.</w:t>
      </w:r>
    </w:p>
    <w:p w:rsidR="00275885" w:rsidRPr="00CF19F3" w:rsidRDefault="00CF19F3" w:rsidP="00CF19F3">
      <w:pPr>
        <w:spacing w:before="60" w:after="120" w:line="240" w:lineRule="auto"/>
        <w:jc w:val="both"/>
        <w:rPr>
          <w:rFonts w:ascii="Arial" w:hAnsi="Arial" w:cs="Arial"/>
          <w:sz w:val="24"/>
          <w:szCs w:val="24"/>
        </w:rPr>
      </w:pPr>
      <w:r w:rsidRPr="00CF19F3">
        <w:rPr>
          <w:rFonts w:ascii="Arial" w:hAnsi="Arial" w:cs="Arial"/>
          <w:sz w:val="24"/>
          <w:szCs w:val="24"/>
        </w:rPr>
        <w:t xml:space="preserve">4. Figures and Tables: If necessary, include figures or tables that support your letter's content. Ensure these are relevant and clearly </w:t>
      </w:r>
      <w:r w:rsidRPr="00CF19F3">
        <w:rPr>
          <w:rFonts w:ascii="Arial" w:hAnsi="Arial" w:cs="Arial"/>
          <w:sz w:val="24"/>
          <w:szCs w:val="24"/>
        </w:rPr>
        <w:t>labelled</w:t>
      </w:r>
      <w:r w:rsidRPr="00CF19F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275885" w:rsidRPr="00CF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B75"/>
    <w:multiLevelType w:val="hybridMultilevel"/>
    <w:tmpl w:val="350EA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120D"/>
    <w:multiLevelType w:val="multilevel"/>
    <w:tmpl w:val="487A02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F3"/>
    <w:rsid w:val="00275885"/>
    <w:rsid w:val="00C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621F"/>
  <w15:chartTrackingRefBased/>
  <w15:docId w15:val="{6D3DCB74-4E53-4CAF-A36D-1EDA6A33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Jackser T. Ouma</dc:creator>
  <cp:keywords/>
  <dc:description/>
  <cp:lastModifiedBy>Jackser T. Ouma</cp:lastModifiedBy>
  <cp:revision>1</cp:revision>
  <dcterms:created xsi:type="dcterms:W3CDTF">2023-09-28T10:23:00Z</dcterms:created>
  <dcterms:modified xsi:type="dcterms:W3CDTF">2023-09-28T10:25:00Z</dcterms:modified>
</cp:coreProperties>
</file>